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F9" w:rsidRPr="00857E11" w:rsidRDefault="008324F9" w:rsidP="00857E11">
      <w:pPr>
        <w:jc w:val="center"/>
        <w:rPr>
          <w:rFonts w:ascii="方正大标宋简体" w:eastAsia="方正大标宋简体"/>
          <w:sz w:val="36"/>
          <w:szCs w:val="36"/>
        </w:rPr>
      </w:pPr>
      <w:r w:rsidRPr="00857E11">
        <w:rPr>
          <w:rFonts w:ascii="方正大标宋简体" w:eastAsia="方正大标宋简体" w:hint="eastAsia"/>
          <w:sz w:val="36"/>
          <w:szCs w:val="36"/>
        </w:rPr>
        <w:t>对财务造假出重拳用重典 坚定不移推进资本市场改革——中国证监会主席易会满回应资本市场热点问题</w:t>
      </w:r>
    </w:p>
    <w:p w:rsidR="00857E11" w:rsidRDefault="00857E11" w:rsidP="008324F9">
      <w:pPr>
        <w:ind w:firstLineChars="200" w:firstLine="640"/>
        <w:rPr>
          <w:rFonts w:ascii="方正仿宋简体" w:eastAsia="方正仿宋简体"/>
          <w:sz w:val="32"/>
          <w:szCs w:val="32"/>
        </w:rPr>
      </w:pPr>
    </w:p>
    <w:p w:rsidR="008324F9" w:rsidRPr="00004C0E" w:rsidRDefault="008324F9" w:rsidP="00004C0E">
      <w:pPr>
        <w:ind w:firstLineChars="200" w:firstLine="640"/>
        <w:rPr>
          <w:rFonts w:ascii="方正黑体简体" w:eastAsia="方正黑体简体"/>
          <w:sz w:val="32"/>
          <w:szCs w:val="32"/>
        </w:rPr>
      </w:pPr>
      <w:r w:rsidRPr="008324F9">
        <w:rPr>
          <w:rFonts w:ascii="方正仿宋简体" w:eastAsia="方正仿宋简体" w:hint="eastAsia"/>
          <w:sz w:val="32"/>
          <w:szCs w:val="32"/>
        </w:rPr>
        <w:t xml:space="preserve">新华社北京5月15日电 </w:t>
      </w:r>
      <w:r w:rsidRPr="00004C0E">
        <w:rPr>
          <w:rFonts w:ascii="方正黑体简体" w:eastAsia="方正黑体简体" w:hint="eastAsia"/>
          <w:sz w:val="32"/>
          <w:szCs w:val="32"/>
        </w:rPr>
        <w:t>题：对财务造假出重拳用重典 坚定不移推进资本市场改革——中国证监会主席易会满回应资本市场热点问题</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新华社记者 李延霞</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资本市场财务造假屡禁不止，监管之手如何发力？注册制等基础制度改革将有哪些突破？资本市场如何发挥好枢纽功能？在15日举行的2020年“5·15全国投资者保护宣传日”活动上，中国证监会主席易会满对这些热点问题进行了回应。</w:t>
      </w:r>
    </w:p>
    <w:p w:rsidR="008324F9" w:rsidRPr="00F71444" w:rsidRDefault="008324F9" w:rsidP="00F71444">
      <w:pPr>
        <w:ind w:firstLineChars="200" w:firstLine="640"/>
        <w:rPr>
          <w:rFonts w:ascii="方正黑体简体" w:eastAsia="方正黑体简体"/>
          <w:sz w:val="32"/>
          <w:szCs w:val="32"/>
        </w:rPr>
      </w:pPr>
      <w:r w:rsidRPr="00F71444">
        <w:rPr>
          <w:rFonts w:ascii="方正黑体简体" w:eastAsia="方正黑体简体" w:hint="eastAsia"/>
          <w:sz w:val="32"/>
          <w:szCs w:val="32"/>
        </w:rPr>
        <w:t>对财务造假等恶性违法违规行为保持“零容忍”</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易会满表示，财务造假、内幕交易、操纵市场等恶性违法违规行为屡有发生，不仅破坏市场生态，更重要的是影响投资者信心。对此，必须出重拳、用重典，坚决清除害群之马，切实保护投资者合法权益。</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他表示，当前，疫情对一些上市公司经营业绩造成影响，对于正常的业绩波动，相信市场和投资者是能够理解的，但是绝对不能说假话、编故事、做假账，更不能借疫情之名“大洗澡”或者“炒题材”。</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“要突出执法重点，集中优势资源查办财务造假等大要</w:t>
      </w:r>
      <w:r w:rsidRPr="008324F9">
        <w:rPr>
          <w:rFonts w:ascii="方正仿宋简体" w:eastAsia="方正仿宋简体" w:hint="eastAsia"/>
          <w:sz w:val="32"/>
          <w:szCs w:val="32"/>
        </w:rPr>
        <w:lastRenderedPageBreak/>
        <w:t>案，推动一案多查，对相关上市公司、中介机构和个人从严从重处理。”易会满说，同时要分类施策，区分实质违规与形式瑕疵，区分受疫情影响与借机造假等。</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“通过推动构建起自律管理、日常监管、稽查处罚、刑事追责、集体诉讼和民事赔偿有机衔接、权威高效的资本市场执法体系，严肃市场纪律，维护市场秩序，还资本市场一片海晏河清。”易会满说。</w:t>
      </w:r>
    </w:p>
    <w:p w:rsidR="008324F9" w:rsidRPr="00F71444" w:rsidRDefault="008324F9" w:rsidP="00F71444">
      <w:pPr>
        <w:ind w:firstLineChars="200" w:firstLine="640"/>
        <w:rPr>
          <w:rFonts w:ascii="方正黑体简体" w:eastAsia="方正黑体简体"/>
          <w:sz w:val="32"/>
          <w:szCs w:val="32"/>
        </w:rPr>
      </w:pPr>
      <w:r w:rsidRPr="00F71444">
        <w:rPr>
          <w:rFonts w:ascii="方正黑体简体" w:eastAsia="方正黑体简体" w:hint="eastAsia"/>
          <w:sz w:val="32"/>
          <w:szCs w:val="32"/>
        </w:rPr>
        <w:t>提升市场活跃度 畅通中长期资金入市渠道</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易会满表示，提升市场活跃度，既包括促进交易更加活跃，也包括吸引更多投资者特别是机构投资者入市，改善投资者结构，还包括建立公开公平公正的市场秩序，更好取信于市场。</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“我们将立足于提升活跃度，优化交易监管，增强交易便利性，大幅提升交易监管透明度。同时积极创造条件畅通各类资金尤其是中长期资金入市渠道。”他说。</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易会满表示，要进一步发展壮大公募基金管理人队伍；推动放宽各类中长期资金入市的比例和范围，尽快推动实现个人养老金投资公募基金政策落地。推动提高商业银行理财产品权益投资活跃度；推进完善机构投资者税收、业绩评价、会计等配套政策安排，强化价值投资、长期投资理念。</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据介绍，去年以来，通过推动公募基金准入制度改革，市场活力大幅增加。今年前4个月权益类公募基金募集金额</w:t>
      </w:r>
      <w:r w:rsidRPr="008324F9">
        <w:rPr>
          <w:rFonts w:ascii="方正仿宋简体" w:eastAsia="方正仿宋简体" w:hint="eastAsia"/>
          <w:sz w:val="32"/>
          <w:szCs w:val="32"/>
        </w:rPr>
        <w:lastRenderedPageBreak/>
        <w:t>4300亿元，是去年同期的3.8倍。</w:t>
      </w:r>
    </w:p>
    <w:p w:rsidR="008324F9" w:rsidRPr="00F71444" w:rsidRDefault="008324F9" w:rsidP="00F71444">
      <w:pPr>
        <w:ind w:firstLineChars="200" w:firstLine="640"/>
        <w:rPr>
          <w:rFonts w:ascii="方正黑体简体" w:eastAsia="方正黑体简体"/>
          <w:sz w:val="32"/>
          <w:szCs w:val="32"/>
        </w:rPr>
      </w:pPr>
      <w:r w:rsidRPr="00F71444">
        <w:rPr>
          <w:rFonts w:ascii="方正黑体简体" w:eastAsia="方正黑体简体" w:hint="eastAsia"/>
          <w:sz w:val="32"/>
          <w:szCs w:val="32"/>
        </w:rPr>
        <w:t>坚定不移推进资本市场改革</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易会满表示，形势越是严峻复杂，越要坚定不移深化改革，资本市场推进改革和扩大开放的方向和决心不会因为疫情而发生变化。</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他表示，注册制改革是这一轮资本市场改革的总纲，必须坚持稳中求进，分步实施，尤其需要市场各方积极参与、共同推动。“我们已经在科创板试点了增量的注册制改革，积累了一定的经验，目前正在创业板试点存量市场的注册制改革，下一步还将在总结评估的基础上，稳步在全市场分阶段实现注册制改革目标。”</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再融资制度方面，他表示，下一步将再融资审核重点聚焦到关键发行条件上来，适时发布再融资审核指引，增强市场可预期性，同时推进再融资分类审核。</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减持制度方面，易会满表示，通过反复研究论证，形成了分阶段改革方案。一方面继续从严规范控股股东、实控人、董监高减持；另一方面对于创投基金、民企纾困等适当开口子、给政策。</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退市制度方面，易会满表示，去年以来共18家公司实现平稳退出，创历史新高。要进一步健全市场化法治化的多元退市机制，完善退市标准，简化退市流程，对触及强制退市标准的坚决予以退市。</w:t>
      </w:r>
    </w:p>
    <w:p w:rsidR="008324F9" w:rsidRPr="00F71444" w:rsidRDefault="008324F9" w:rsidP="00F71444">
      <w:pPr>
        <w:ind w:firstLineChars="200" w:firstLine="640"/>
        <w:rPr>
          <w:rFonts w:ascii="方正黑体简体" w:eastAsia="方正黑体简体"/>
          <w:sz w:val="32"/>
          <w:szCs w:val="32"/>
        </w:rPr>
      </w:pPr>
      <w:r w:rsidRPr="00F71444">
        <w:rPr>
          <w:rFonts w:ascii="方正黑体简体" w:eastAsia="方正黑体简体" w:hint="eastAsia"/>
          <w:sz w:val="32"/>
          <w:szCs w:val="32"/>
        </w:rPr>
        <w:lastRenderedPageBreak/>
        <w:t>促进发挥资本市场枢纽功能</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稳定是资本市场改革发展的重要前提。易会满表示，证监会坚持尊重规律、相信市场，坚决不作行政干预，主动加强与市场的沟通，强化各方面的政策协同，实现了A股春节后正常开市和常态化运行，市场韧性明显增强。股票质押、债券违约、私募基金等重点领域风险防范处置成效明显，总体收敛。</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他表示，在当前外部不确定、不稳定因素增多的情况下，必须切实强化底线思维，增强忧患意识，重点做好输入性、交叉性风险防范，完善各种场景下应对预案，努力实现资本市场平稳健康发展。同时持续做好重点领域风险防范处置。</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易会满表示，当前一方面要积极应对严峻复杂的内外部风险挑战，努力实现市场平稳健康发展；另一方面更要积极主动作为，强化逆周期调节，促进市场功能发挥。要在支持经济恢复发展上持续加力、在推进新证券法的贯彻实施上持续加力、在全面深化资本市场改革上持续加力、在优化放管结合和改进服务上持续加力。</w:t>
      </w:r>
    </w:p>
    <w:p w:rsidR="008324F9" w:rsidRPr="008324F9"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据了解，今年前4个月，IPO、再融资、交易所债券市场融资保持较快增长；并购重组交易金额是去年同期1.2倍。</w:t>
      </w:r>
    </w:p>
    <w:p w:rsidR="00F71444" w:rsidRDefault="008324F9" w:rsidP="00F71444">
      <w:pPr>
        <w:ind w:firstLineChars="200" w:firstLine="640"/>
        <w:rPr>
          <w:rFonts w:ascii="方正仿宋简体" w:eastAsia="方正仿宋简体"/>
          <w:sz w:val="32"/>
          <w:szCs w:val="32"/>
        </w:rPr>
      </w:pPr>
      <w:r w:rsidRPr="008324F9">
        <w:rPr>
          <w:rFonts w:ascii="方正仿宋简体" w:eastAsia="方正仿宋简体" w:hint="eastAsia"/>
          <w:sz w:val="32"/>
          <w:szCs w:val="32"/>
        </w:rPr>
        <w:t>易会满表示，资本市场作为国民经济的“晴雨表”，既要当好“温度计”，更要做好“助推器”，积极发挥要素资源配置枢纽、政策传导枢纽、风险防范化解枢纽和预期引导枢</w:t>
      </w:r>
      <w:r w:rsidRPr="008324F9">
        <w:rPr>
          <w:rFonts w:ascii="方正仿宋简体" w:eastAsia="方正仿宋简体" w:hint="eastAsia"/>
          <w:sz w:val="32"/>
          <w:szCs w:val="32"/>
        </w:rPr>
        <w:lastRenderedPageBreak/>
        <w:t>纽等重要作用，为实体企业克服疫情影响、实现提质增效注入新动能。</w:t>
      </w:r>
    </w:p>
    <w:p w:rsidR="00F965D5" w:rsidRPr="008324F9" w:rsidRDefault="00F71444" w:rsidP="00F71444">
      <w:pPr>
        <w:ind w:firstLineChars="200" w:firstLine="640"/>
        <w:rPr>
          <w:rFonts w:ascii="方正仿宋简体" w:eastAsia="方正仿宋简体"/>
          <w:sz w:val="32"/>
          <w:szCs w:val="32"/>
        </w:rPr>
      </w:pPr>
      <w:r>
        <w:rPr>
          <w:rFonts w:ascii="方正仿宋简体" w:eastAsia="方正仿宋简体" w:hint="eastAsia"/>
          <w:sz w:val="32"/>
          <w:szCs w:val="32"/>
        </w:rPr>
        <w:t>文章</w:t>
      </w:r>
      <w:r w:rsidR="00C119C1" w:rsidRPr="008324F9">
        <w:rPr>
          <w:rFonts w:ascii="方正仿宋简体" w:eastAsia="方正仿宋简体" w:hint="eastAsia"/>
          <w:sz w:val="32"/>
          <w:szCs w:val="32"/>
        </w:rPr>
        <w:t>来源： 新华社</w:t>
      </w:r>
    </w:p>
    <w:sectPr w:rsidR="00F965D5" w:rsidRPr="008324F9" w:rsidSect="00F965D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743" w:rsidRDefault="00013743" w:rsidP="00004C0E">
      <w:r>
        <w:separator/>
      </w:r>
    </w:p>
  </w:endnote>
  <w:endnote w:type="continuationSeparator" w:id="1">
    <w:p w:rsidR="00013743" w:rsidRDefault="00013743" w:rsidP="00004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6077"/>
      <w:docPartObj>
        <w:docPartGallery w:val="Page Numbers (Bottom of Page)"/>
        <w:docPartUnique/>
      </w:docPartObj>
    </w:sdtPr>
    <w:sdtContent>
      <w:p w:rsidR="00004C0E" w:rsidRDefault="009D55AC">
        <w:pPr>
          <w:pStyle w:val="a4"/>
          <w:jc w:val="center"/>
        </w:pPr>
        <w:fldSimple w:instr=" PAGE   \* MERGEFORMAT ">
          <w:r w:rsidR="006F5B34" w:rsidRPr="006F5B34">
            <w:rPr>
              <w:noProof/>
              <w:lang w:val="zh-CN"/>
            </w:rPr>
            <w:t>5</w:t>
          </w:r>
        </w:fldSimple>
      </w:p>
    </w:sdtContent>
  </w:sdt>
  <w:p w:rsidR="00004C0E" w:rsidRDefault="00004C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743" w:rsidRDefault="00013743" w:rsidP="00004C0E">
      <w:r>
        <w:separator/>
      </w:r>
    </w:p>
  </w:footnote>
  <w:footnote w:type="continuationSeparator" w:id="1">
    <w:p w:rsidR="00013743" w:rsidRDefault="00013743" w:rsidP="00004C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4F9"/>
    <w:rsid w:val="00004C0E"/>
    <w:rsid w:val="00013743"/>
    <w:rsid w:val="00306546"/>
    <w:rsid w:val="006F5B34"/>
    <w:rsid w:val="008324F9"/>
    <w:rsid w:val="00857E11"/>
    <w:rsid w:val="009D55AC"/>
    <w:rsid w:val="00B76E89"/>
    <w:rsid w:val="00C119C1"/>
    <w:rsid w:val="00F71444"/>
    <w:rsid w:val="00F96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4C0E"/>
    <w:rPr>
      <w:sz w:val="18"/>
      <w:szCs w:val="18"/>
    </w:rPr>
  </w:style>
  <w:style w:type="paragraph" w:styleId="a4">
    <w:name w:val="footer"/>
    <w:basedOn w:val="a"/>
    <w:link w:val="Char0"/>
    <w:uiPriority w:val="99"/>
    <w:unhideWhenUsed/>
    <w:rsid w:val="00004C0E"/>
    <w:pPr>
      <w:tabs>
        <w:tab w:val="center" w:pos="4153"/>
        <w:tab w:val="right" w:pos="8306"/>
      </w:tabs>
      <w:snapToGrid w:val="0"/>
      <w:jc w:val="left"/>
    </w:pPr>
    <w:rPr>
      <w:sz w:val="18"/>
      <w:szCs w:val="18"/>
    </w:rPr>
  </w:style>
  <w:style w:type="character" w:customStyle="1" w:styleId="Char0">
    <w:name w:val="页脚 Char"/>
    <w:basedOn w:val="a0"/>
    <w:link w:val="a4"/>
    <w:uiPriority w:val="99"/>
    <w:rsid w:val="00004C0E"/>
    <w:rPr>
      <w:sz w:val="18"/>
      <w:szCs w:val="18"/>
    </w:rPr>
  </w:style>
</w:styles>
</file>

<file path=word/webSettings.xml><?xml version="1.0" encoding="utf-8"?>
<w:webSettings xmlns:r="http://schemas.openxmlformats.org/officeDocument/2006/relationships" xmlns:w="http://schemas.openxmlformats.org/wordprocessingml/2006/main">
  <w:divs>
    <w:div w:id="20741722">
      <w:bodyDiv w:val="1"/>
      <w:marLeft w:val="0"/>
      <w:marRight w:val="0"/>
      <w:marTop w:val="0"/>
      <w:marBottom w:val="0"/>
      <w:divBdr>
        <w:top w:val="none" w:sz="0" w:space="0" w:color="auto"/>
        <w:left w:val="none" w:sz="0" w:space="0" w:color="auto"/>
        <w:bottom w:val="none" w:sz="0" w:space="0" w:color="auto"/>
        <w:right w:val="none" w:sz="0" w:space="0" w:color="auto"/>
      </w:divBdr>
      <w:divsChild>
        <w:div w:id="74979156">
          <w:marLeft w:val="0"/>
          <w:marRight w:val="0"/>
          <w:marTop w:val="0"/>
          <w:marBottom w:val="0"/>
          <w:divBdr>
            <w:top w:val="none" w:sz="0" w:space="0" w:color="auto"/>
            <w:left w:val="none" w:sz="0" w:space="0" w:color="auto"/>
            <w:bottom w:val="single" w:sz="6" w:space="0" w:color="DCDCDC"/>
            <w:right w:val="none" w:sz="0" w:space="0" w:color="auto"/>
          </w:divBdr>
          <w:divsChild>
            <w:div w:id="942105403">
              <w:marLeft w:val="0"/>
              <w:marRight w:val="0"/>
              <w:marTop w:val="0"/>
              <w:marBottom w:val="0"/>
              <w:divBdr>
                <w:top w:val="none" w:sz="0" w:space="0" w:color="auto"/>
                <w:left w:val="none" w:sz="0" w:space="0" w:color="auto"/>
                <w:bottom w:val="none" w:sz="0" w:space="0" w:color="auto"/>
                <w:right w:val="none" w:sz="0" w:space="0" w:color="auto"/>
              </w:divBdr>
              <w:divsChild>
                <w:div w:id="17574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6719">
          <w:marLeft w:val="0"/>
          <w:marRight w:val="0"/>
          <w:marTop w:val="0"/>
          <w:marBottom w:val="0"/>
          <w:divBdr>
            <w:top w:val="none" w:sz="0" w:space="0" w:color="auto"/>
            <w:left w:val="none" w:sz="0" w:space="0" w:color="auto"/>
            <w:bottom w:val="none" w:sz="0" w:space="0" w:color="auto"/>
            <w:right w:val="none" w:sz="0" w:space="0" w:color="auto"/>
          </w:divBdr>
        </w:div>
      </w:divsChild>
    </w:div>
    <w:div w:id="136840967">
      <w:bodyDiv w:val="1"/>
      <w:marLeft w:val="0"/>
      <w:marRight w:val="0"/>
      <w:marTop w:val="0"/>
      <w:marBottom w:val="0"/>
      <w:divBdr>
        <w:top w:val="none" w:sz="0" w:space="0" w:color="auto"/>
        <w:left w:val="none" w:sz="0" w:space="0" w:color="auto"/>
        <w:bottom w:val="none" w:sz="0" w:space="0" w:color="auto"/>
        <w:right w:val="none" w:sz="0" w:space="0" w:color="auto"/>
      </w:divBdr>
      <w:divsChild>
        <w:div w:id="1718776409">
          <w:marLeft w:val="0"/>
          <w:marRight w:val="0"/>
          <w:marTop w:val="0"/>
          <w:marBottom w:val="0"/>
          <w:divBdr>
            <w:top w:val="none" w:sz="0" w:space="0" w:color="auto"/>
            <w:left w:val="none" w:sz="0" w:space="0" w:color="auto"/>
            <w:bottom w:val="single" w:sz="6" w:space="0" w:color="DCDCDC"/>
            <w:right w:val="none" w:sz="0" w:space="0" w:color="auto"/>
          </w:divBdr>
          <w:divsChild>
            <w:div w:id="1934970271">
              <w:marLeft w:val="0"/>
              <w:marRight w:val="0"/>
              <w:marTop w:val="0"/>
              <w:marBottom w:val="0"/>
              <w:divBdr>
                <w:top w:val="none" w:sz="0" w:space="0" w:color="auto"/>
                <w:left w:val="none" w:sz="0" w:space="0" w:color="auto"/>
                <w:bottom w:val="none" w:sz="0" w:space="0" w:color="auto"/>
                <w:right w:val="none" w:sz="0" w:space="0" w:color="auto"/>
              </w:divBdr>
              <w:divsChild>
                <w:div w:id="6298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923">
          <w:marLeft w:val="0"/>
          <w:marRight w:val="0"/>
          <w:marTop w:val="0"/>
          <w:marBottom w:val="0"/>
          <w:divBdr>
            <w:top w:val="none" w:sz="0" w:space="0" w:color="auto"/>
            <w:left w:val="none" w:sz="0" w:space="0" w:color="auto"/>
            <w:bottom w:val="none" w:sz="0" w:space="0" w:color="auto"/>
            <w:right w:val="none" w:sz="0" w:space="0" w:color="auto"/>
          </w:divBdr>
        </w:div>
      </w:divsChild>
    </w:div>
    <w:div w:id="648943419">
      <w:bodyDiv w:val="1"/>
      <w:marLeft w:val="0"/>
      <w:marRight w:val="0"/>
      <w:marTop w:val="0"/>
      <w:marBottom w:val="0"/>
      <w:divBdr>
        <w:top w:val="none" w:sz="0" w:space="0" w:color="auto"/>
        <w:left w:val="none" w:sz="0" w:space="0" w:color="auto"/>
        <w:bottom w:val="none" w:sz="0" w:space="0" w:color="auto"/>
        <w:right w:val="none" w:sz="0" w:space="0" w:color="auto"/>
      </w:divBdr>
      <w:divsChild>
        <w:div w:id="1808935562">
          <w:marLeft w:val="0"/>
          <w:marRight w:val="0"/>
          <w:marTop w:val="0"/>
          <w:marBottom w:val="0"/>
          <w:divBdr>
            <w:top w:val="none" w:sz="0" w:space="0" w:color="auto"/>
            <w:left w:val="none" w:sz="0" w:space="0" w:color="auto"/>
            <w:bottom w:val="single" w:sz="6" w:space="0" w:color="DCDCDC"/>
            <w:right w:val="none" w:sz="0" w:space="0" w:color="auto"/>
          </w:divBdr>
          <w:divsChild>
            <w:div w:id="1153332108">
              <w:marLeft w:val="0"/>
              <w:marRight w:val="0"/>
              <w:marTop w:val="0"/>
              <w:marBottom w:val="0"/>
              <w:divBdr>
                <w:top w:val="none" w:sz="0" w:space="0" w:color="auto"/>
                <w:left w:val="none" w:sz="0" w:space="0" w:color="auto"/>
                <w:bottom w:val="none" w:sz="0" w:space="0" w:color="auto"/>
                <w:right w:val="none" w:sz="0" w:space="0" w:color="auto"/>
              </w:divBdr>
              <w:divsChild>
                <w:div w:id="4360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685">
          <w:marLeft w:val="0"/>
          <w:marRight w:val="0"/>
          <w:marTop w:val="0"/>
          <w:marBottom w:val="0"/>
          <w:divBdr>
            <w:top w:val="none" w:sz="0" w:space="0" w:color="auto"/>
            <w:left w:val="none" w:sz="0" w:space="0" w:color="auto"/>
            <w:bottom w:val="none" w:sz="0" w:space="0" w:color="auto"/>
            <w:right w:val="none" w:sz="0" w:space="0" w:color="auto"/>
          </w:divBdr>
        </w:div>
      </w:divsChild>
    </w:div>
    <w:div w:id="1658610979">
      <w:bodyDiv w:val="1"/>
      <w:marLeft w:val="0"/>
      <w:marRight w:val="0"/>
      <w:marTop w:val="0"/>
      <w:marBottom w:val="0"/>
      <w:divBdr>
        <w:top w:val="none" w:sz="0" w:space="0" w:color="auto"/>
        <w:left w:val="none" w:sz="0" w:space="0" w:color="auto"/>
        <w:bottom w:val="none" w:sz="0" w:space="0" w:color="auto"/>
        <w:right w:val="none" w:sz="0" w:space="0" w:color="auto"/>
      </w:divBdr>
      <w:divsChild>
        <w:div w:id="144594603">
          <w:marLeft w:val="0"/>
          <w:marRight w:val="0"/>
          <w:marTop w:val="0"/>
          <w:marBottom w:val="0"/>
          <w:divBdr>
            <w:top w:val="none" w:sz="0" w:space="0" w:color="auto"/>
            <w:left w:val="none" w:sz="0" w:space="0" w:color="auto"/>
            <w:bottom w:val="single" w:sz="6" w:space="0" w:color="DCDCDC"/>
            <w:right w:val="none" w:sz="0" w:space="0" w:color="auto"/>
          </w:divBdr>
          <w:divsChild>
            <w:div w:id="890308232">
              <w:marLeft w:val="0"/>
              <w:marRight w:val="0"/>
              <w:marTop w:val="0"/>
              <w:marBottom w:val="0"/>
              <w:divBdr>
                <w:top w:val="none" w:sz="0" w:space="0" w:color="auto"/>
                <w:left w:val="none" w:sz="0" w:space="0" w:color="auto"/>
                <w:bottom w:val="none" w:sz="0" w:space="0" w:color="auto"/>
                <w:right w:val="none" w:sz="0" w:space="0" w:color="auto"/>
              </w:divBdr>
              <w:divsChild>
                <w:div w:id="252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8D7A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299</Words>
  <Characters>1705</Characters>
  <Application>Microsoft Office Word</Application>
  <DocSecurity>0</DocSecurity>
  <Lines>14</Lines>
  <Paragraphs>3</Paragraphs>
  <ScaleCrop>false</ScaleCrop>
  <Company>Lenovo</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zhailin</dc:creator>
  <cp:lastModifiedBy>张爱琳：承办处室办理人</cp:lastModifiedBy>
  <cp:revision>3</cp:revision>
  <dcterms:created xsi:type="dcterms:W3CDTF">2020-06-01T02:44:00Z</dcterms:created>
  <dcterms:modified xsi:type="dcterms:W3CDTF">2020-06-01T03:19:00Z</dcterms:modified>
</cp:coreProperties>
</file>